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47" w:rsidRDefault="00885947" w:rsidP="0088594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85947" w:rsidRPr="00885947" w:rsidRDefault="00885947" w:rsidP="0045789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Pr="00885947">
        <w:rPr>
          <w:rFonts w:ascii="Times New Roman" w:hAnsi="Times New Roman" w:cs="Times New Roman"/>
          <w:sz w:val="26"/>
          <w:szCs w:val="26"/>
        </w:rPr>
        <w:t xml:space="preserve"> результаты обследования в интересах «Стратегии – 2020»</w:t>
      </w:r>
    </w:p>
    <w:p w:rsidR="00785C95" w:rsidRDefault="00885947" w:rsidP="0045789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5947">
        <w:rPr>
          <w:rFonts w:ascii="Times New Roman" w:hAnsi="Times New Roman" w:cs="Times New Roman"/>
          <w:b/>
          <w:sz w:val="26"/>
          <w:szCs w:val="26"/>
        </w:rPr>
        <w:t>«Среднесрочные и долгосрочные ожидания и прогнозы макроэкономической динамики России в независимом профессиональном экспертном сообществе</w:t>
      </w:r>
      <w:r w:rsidRPr="00885947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85947" w:rsidRPr="00885947" w:rsidRDefault="00885947" w:rsidP="0045789A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85947">
        <w:rPr>
          <w:rFonts w:ascii="Times New Roman" w:hAnsi="Times New Roman" w:cs="Times New Roman"/>
          <w:bCs/>
          <w:sz w:val="26"/>
          <w:szCs w:val="26"/>
        </w:rPr>
        <w:t>Институт «Центр развития» НИУ-ВШЭ (к.э.н. Смирнов С.В.</w:t>
      </w:r>
      <w:r w:rsidR="00D4191E">
        <w:rPr>
          <w:rFonts w:ascii="Times New Roman" w:hAnsi="Times New Roman" w:cs="Times New Roman"/>
          <w:bCs/>
          <w:sz w:val="26"/>
          <w:szCs w:val="26"/>
        </w:rPr>
        <w:t>, Акиндинова Н.В.</w:t>
      </w:r>
      <w:bookmarkStart w:id="0" w:name="_GoBack"/>
      <w:bookmarkEnd w:id="0"/>
      <w:r w:rsidRPr="00885947">
        <w:rPr>
          <w:rFonts w:ascii="Times New Roman" w:hAnsi="Times New Roman" w:cs="Times New Roman"/>
          <w:bCs/>
          <w:sz w:val="26"/>
          <w:szCs w:val="26"/>
        </w:rPr>
        <w:t>)</w:t>
      </w:r>
    </w:p>
    <w:p w:rsidR="00885947" w:rsidRDefault="00885947">
      <w:pPr>
        <w:rPr>
          <w:rFonts w:ascii="Times New Roman" w:hAnsi="Times New Roman" w:cs="Times New Roman"/>
        </w:rPr>
      </w:pPr>
    </w:p>
    <w:p w:rsidR="005F7E35" w:rsidRDefault="005F7E35">
      <w:pPr>
        <w:rPr>
          <w:rFonts w:ascii="Times New Roman" w:hAnsi="Times New Roman" w:cs="Times New Roman"/>
        </w:rPr>
      </w:pPr>
    </w:p>
    <w:p w:rsidR="005F7E35" w:rsidRDefault="005F7E35">
      <w:pPr>
        <w:rPr>
          <w:rFonts w:ascii="Times New Roman" w:hAnsi="Times New Roman" w:cs="Times New Roman"/>
        </w:rPr>
      </w:pPr>
    </w:p>
    <w:p w:rsidR="005F7E35" w:rsidRPr="00885947" w:rsidRDefault="005F7E35">
      <w:pPr>
        <w:rPr>
          <w:rFonts w:ascii="Times New Roman" w:hAnsi="Times New Roman" w:cs="Times New Roman"/>
        </w:rPr>
      </w:pPr>
    </w:p>
    <w:p w:rsidR="00885947" w:rsidRPr="00885947" w:rsidRDefault="00D33FE6" w:rsidP="008859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33F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Содержанием работ является сбор и анализ информации о среднесрочных и долгосрочных ожиданиях в профессиональном экспертном сообществе. В опросе принимали участие эксперты из ведущих российских и зарубежных аналитических центров, коммерческих и инвестиционных банков, крупных промышленных компаний, а именно аналитики, в чьи профессиональные и должностные обязанности входит прогнозирование макроэкономических показателей. </w:t>
      </w:r>
      <w:r w:rsidR="00885947" w:rsidRPr="00885947">
        <w:rPr>
          <w:rFonts w:ascii="Times New Roman" w:eastAsia="Times New Roman" w:hAnsi="Times New Roman" w:cs="Times New Roman"/>
          <w:sz w:val="24"/>
          <w:szCs w:val="20"/>
          <w:lang w:eastAsia="ru-RU"/>
        </w:rPr>
        <w:t>В качестве первичной панели российских и иностранных компаний, имеющих в своем составе подразделения или специалистов, специализирующихся на прогнозировании макропараметров экономики России были выбраны следующие 41 организация (с</w:t>
      </w:r>
      <w:r w:rsidR="00885947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="00885947" w:rsidRPr="0088594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Таблицу </w:t>
      </w:r>
      <w:r w:rsidR="00885947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885947" w:rsidRPr="00885947">
        <w:rPr>
          <w:rFonts w:ascii="Times New Roman" w:eastAsia="Times New Roman" w:hAnsi="Times New Roman" w:cs="Times New Roman"/>
          <w:sz w:val="24"/>
          <w:szCs w:val="20"/>
          <w:lang w:eastAsia="ru-RU"/>
        </w:rPr>
        <w:t>). По разным причинам 9 организаций не смогли принять участие в опросе; в соответствующих клеточках поставлены прочерки.</w:t>
      </w:r>
    </w:p>
    <w:p w:rsidR="00885947" w:rsidRDefault="00885947" w:rsidP="008859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5947">
        <w:rPr>
          <w:rFonts w:ascii="Times New Roman" w:eastAsia="Times New Roman" w:hAnsi="Times New Roman" w:cs="Times New Roman"/>
          <w:sz w:val="24"/>
          <w:szCs w:val="20"/>
          <w:lang w:eastAsia="ru-RU"/>
        </w:rPr>
        <w:t>Всего в опросе приняло участие 32 организации, из них: аналитических групп и институтов – 10; коммерческих и инвестиционных банков, финансовых компаний – 18; компаний реального сектора - 4. 19 участников представляло российские организации, 13 – иностранные (в эту категорию входят, в частности, «дочки» иностранных банков).</w:t>
      </w:r>
    </w:p>
    <w:p w:rsidR="00D33FE6" w:rsidRDefault="00D33FE6" w:rsidP="00D33FE6">
      <w:pPr>
        <w:pStyle w:val="a1"/>
      </w:pPr>
      <w:r>
        <w:t xml:space="preserve">Перечень прогнозных показателей в Анкете содержал ключевые индикаторы (характеризующие динамику ВВП, промышленного производства, инвестиций, потребительских расходов, инфляции, валютного курса, важнейших показателей платежного баланса, в </w:t>
      </w:r>
      <w:proofErr w:type="spellStart"/>
      <w:r>
        <w:t>погодовом</w:t>
      </w:r>
      <w:proofErr w:type="spellEnd"/>
      <w:r>
        <w:t xml:space="preserve"> выражении на период до 2020 года) (всего около 300 показателей).</w:t>
      </w:r>
    </w:p>
    <w:p w:rsidR="00D33FE6" w:rsidRDefault="00D33FE6" w:rsidP="00D33FE6">
      <w:pPr>
        <w:pStyle w:val="a1"/>
      </w:pPr>
      <w:r>
        <w:t>Анкета также содержала вопросы о возможностях  изменения качества институтов, времени начала следующего циклического кризиса, проблемах бюджетной политики и  иные аналогичные вопросы.</w:t>
      </w:r>
    </w:p>
    <w:p w:rsidR="00D33FE6" w:rsidRPr="00885947" w:rsidRDefault="00D33FE6" w:rsidP="008859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85947" w:rsidRPr="00885947" w:rsidRDefault="00885947" w:rsidP="00885947">
      <w:pPr>
        <w:keepNext/>
        <w:tabs>
          <w:tab w:val="num" w:pos="0"/>
        </w:tabs>
        <w:spacing w:before="36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1" w:name="_Toc30907333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1. </w:t>
      </w:r>
      <w:r w:rsidRPr="00885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Первичная и итоговая панель участников опроса</w:t>
      </w:r>
      <w:bookmarkEnd w:id="1"/>
      <w:r w:rsidRPr="00885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718" w:type="dxa"/>
        <w:tblInd w:w="103" w:type="dxa"/>
        <w:tblLook w:val="04A0" w:firstRow="1" w:lastRow="0" w:firstColumn="1" w:lastColumn="0" w:noHBand="0" w:noVBand="1"/>
      </w:tblPr>
      <w:tblGrid>
        <w:gridCol w:w="8350"/>
        <w:gridCol w:w="1368"/>
      </w:tblGrid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(в порядке их англоязычных названий)*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опросе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развития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АВТОВАЗ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Альфа-банк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Bank of America Merrill Lynch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BNP </w:t>
            </w: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Paribas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БДО </w:t>
            </w: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Юникон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Bank of Finland’s Institute for Economies in Transition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Citibank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макроэкономического анализа и краткосрочного прогнозирования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Deutsche</w:t>
            </w:r>
            <w:proofErr w:type="spellEnd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Bank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Экономическая экспертная группа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Economist</w:t>
            </w:r>
            <w:proofErr w:type="spellEnd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Intelligence</w:t>
            </w:r>
            <w:proofErr w:type="spellEnd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Энергопроманалитика</w:t>
            </w:r>
            <w:proofErr w:type="spellEnd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Газпромбанк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HSBC </w:t>
            </w: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Bank</w:t>
            </w:r>
            <w:proofErr w:type="spellEnd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(RR)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народнохозяйственного прогнозирования РАН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экономической политики им. Е. Гайдара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экономики РАН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Institute of International Finance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ING </w:t>
            </w: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Bank</w:t>
            </w:r>
            <w:proofErr w:type="spellEnd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Eurasia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J.P.Morgan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Лукойл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МДМ банк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Номос</w:t>
            </w:r>
            <w:proofErr w:type="spellEnd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Банк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Oxford</w:t>
            </w:r>
            <w:proofErr w:type="spellEnd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Капитал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Raiffaisen</w:t>
            </w:r>
            <w:proofErr w:type="spellEnd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Bank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Ренессанс Капитал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РАНХ и ГС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Сбербанк: Центр макроэкономических исследований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Тройка-Диалог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Банк Траст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UBS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UniCredit</w:t>
            </w:r>
            <w:proofErr w:type="spellEnd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Bank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УРАЛСИБ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Vienna Institute for International Economic Studies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Внешэкономбанк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5947" w:rsidRPr="00885947" w:rsidTr="00885947">
        <w:trPr>
          <w:trHeight w:val="20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ВТБ Капитал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947" w:rsidRPr="00885947" w:rsidRDefault="00885947" w:rsidP="008859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4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885947" w:rsidRPr="00885947" w:rsidRDefault="00885947" w:rsidP="00885947">
      <w:pPr>
        <w:spacing w:before="20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85947">
        <w:rPr>
          <w:rFonts w:ascii="Times New Roman" w:eastAsia="Times New Roman" w:hAnsi="Times New Roman" w:cs="Times New Roman"/>
          <w:i/>
          <w:sz w:val="20"/>
          <w:szCs w:val="20"/>
        </w:rPr>
        <w:t>Примечание: * В первой строке отдельно указан Центр развития, проводивший опрос экспертов</w:t>
      </w:r>
    </w:p>
    <w:p w:rsidR="00885947" w:rsidRPr="00885947" w:rsidRDefault="00885947" w:rsidP="00885947">
      <w:pPr>
        <w:spacing w:before="20" w:after="36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85947">
        <w:rPr>
          <w:rFonts w:ascii="Times New Roman" w:eastAsia="Times New Roman" w:hAnsi="Times New Roman" w:cs="Times New Roman"/>
          <w:i/>
          <w:sz w:val="20"/>
          <w:szCs w:val="20"/>
        </w:rPr>
        <w:t>Источник: Центр развития</w:t>
      </w:r>
    </w:p>
    <w:p w:rsidR="00885947" w:rsidRDefault="00885947" w:rsidP="00885947">
      <w:pPr>
        <w:jc w:val="center"/>
        <w:rPr>
          <w:rFonts w:ascii="Times New Roman" w:hAnsi="Times New Roman" w:cs="Times New Roman"/>
        </w:rPr>
      </w:pPr>
    </w:p>
    <w:p w:rsidR="00885947" w:rsidRDefault="00885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C0ACF" w:rsidRDefault="00FC0ACF" w:rsidP="00FC0ACF">
      <w:pPr>
        <w:pStyle w:val="20"/>
        <w:numPr>
          <w:ilvl w:val="0"/>
          <w:numId w:val="0"/>
        </w:numPr>
        <w:ind w:left="709"/>
      </w:pPr>
      <w:bookmarkStart w:id="2" w:name="_Toc309073319"/>
      <w:proofErr w:type="spellStart"/>
      <w:r>
        <w:lastRenderedPageBreak/>
        <w:t>Макропрогнозы</w:t>
      </w:r>
      <w:proofErr w:type="spellEnd"/>
      <w:r>
        <w:t>: спектры мнений</w:t>
      </w:r>
      <w:bookmarkEnd w:id="2"/>
    </w:p>
    <w:p w:rsidR="00FC0ACF" w:rsidRDefault="00FC0ACF" w:rsidP="00FC0ACF">
      <w:pPr>
        <w:pStyle w:val="a1"/>
      </w:pPr>
      <w:r>
        <w:t>Консенсус-прогнозы (средние по всем участникам опроса), а также минимальные и максимальные оценки для каждого макропоказателя представлены на Рисунке 1 (см. также приложение</w:t>
      </w:r>
      <w:proofErr w:type="gramStart"/>
      <w:r>
        <w:t xml:space="preserve"> )</w:t>
      </w:r>
      <w:proofErr w:type="gramEnd"/>
      <w:r>
        <w:t>.</w:t>
      </w:r>
      <w:r>
        <w:rPr>
          <w:rStyle w:val="a7"/>
        </w:rPr>
        <w:footnoteReference w:id="1"/>
      </w:r>
      <w:r>
        <w:t xml:space="preserve"> Подытожим здесь главные результаты по основным индикаторам:</w:t>
      </w:r>
    </w:p>
    <w:p w:rsidR="00FC0ACF" w:rsidRDefault="00FC0ACF" w:rsidP="00FC0ACF">
      <w:pPr>
        <w:pStyle w:val="a1"/>
      </w:pPr>
      <w:r>
        <w:t xml:space="preserve">Реальный ВВП: консенсус-прогноз темпов роста реального ВВП лежит в диапазоне 3,6-4,0% в год на протяжении всего периода 2011-2020 гг., что означает рост ВВП к 2020 г. на 37% по сравнению с 2011 г. Приходится констатировать, что для такой страны как Россия это не слишком высокий темп. Скажем, Индия и Китай растут темпами в 2-3 раза выше, а до кризиса 2008-2009 г. «естественным» темпом для России считались примерно 7% в год.  </w:t>
      </w:r>
    </w:p>
    <w:p w:rsidR="00FC0ACF" w:rsidRDefault="00FC0ACF" w:rsidP="00FC0ACF">
      <w:pPr>
        <w:pStyle w:val="a1"/>
      </w:pPr>
    </w:p>
    <w:tbl>
      <w:tblPr>
        <w:tblW w:w="106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6"/>
        <w:gridCol w:w="5290"/>
      </w:tblGrid>
      <w:tr w:rsidR="00FC0ACF" w:rsidTr="004B69E8">
        <w:trPr>
          <w:trHeight w:val="3695"/>
        </w:trPr>
        <w:tc>
          <w:tcPr>
            <w:tcW w:w="5326" w:type="dxa"/>
            <w:shd w:val="clear" w:color="auto" w:fill="auto"/>
          </w:tcPr>
          <w:p w:rsidR="00FC0ACF" w:rsidRDefault="00FC0ACF" w:rsidP="004A2E9F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 wp14:anchorId="79F07ECF" wp14:editId="1A3DD033">
                  <wp:extent cx="3168650" cy="221170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  <w:shd w:val="clear" w:color="auto" w:fill="auto"/>
          </w:tcPr>
          <w:p w:rsidR="00FC0ACF" w:rsidRDefault="00FC0ACF" w:rsidP="004A2E9F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 wp14:anchorId="5068F7E3" wp14:editId="65FAA49E">
                  <wp:extent cx="3168650" cy="221170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ACF" w:rsidTr="004B69E8">
        <w:trPr>
          <w:trHeight w:val="3695"/>
        </w:trPr>
        <w:tc>
          <w:tcPr>
            <w:tcW w:w="5326" w:type="dxa"/>
            <w:shd w:val="clear" w:color="auto" w:fill="auto"/>
          </w:tcPr>
          <w:p w:rsidR="00FC0ACF" w:rsidRPr="007E3B2B" w:rsidRDefault="00FC0ACF" w:rsidP="004A2E9F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 wp14:anchorId="3F38E219" wp14:editId="0446A118">
                  <wp:extent cx="3168650" cy="221170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  <w:shd w:val="clear" w:color="auto" w:fill="auto"/>
          </w:tcPr>
          <w:p w:rsidR="00FC0ACF" w:rsidRPr="007E3B2B" w:rsidRDefault="00FC0ACF" w:rsidP="004A2E9F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 wp14:anchorId="249EB830" wp14:editId="780CD231">
                  <wp:extent cx="3168650" cy="22117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ACF" w:rsidTr="004B69E8">
        <w:trPr>
          <w:trHeight w:val="3695"/>
        </w:trPr>
        <w:tc>
          <w:tcPr>
            <w:tcW w:w="5326" w:type="dxa"/>
            <w:shd w:val="clear" w:color="auto" w:fill="auto"/>
          </w:tcPr>
          <w:p w:rsidR="00FC0ACF" w:rsidRPr="007E3B2B" w:rsidRDefault="00FC0ACF" w:rsidP="004A2E9F">
            <w:pPr>
              <w:pStyle w:val="a1"/>
              <w:spacing w:after="60"/>
              <w:ind w:firstLine="0"/>
            </w:pPr>
            <w:r>
              <w:rPr>
                <w:noProof/>
              </w:rPr>
              <w:lastRenderedPageBreak/>
              <w:drawing>
                <wp:inline distT="0" distB="0" distL="0" distR="0" wp14:anchorId="1F6B9C89" wp14:editId="7E60EB23">
                  <wp:extent cx="3168650" cy="22117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  <w:shd w:val="clear" w:color="auto" w:fill="auto"/>
          </w:tcPr>
          <w:p w:rsidR="00FC0ACF" w:rsidRPr="007E3B2B" w:rsidRDefault="00FC0ACF" w:rsidP="004A2E9F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 wp14:anchorId="6729A6D5" wp14:editId="43F222A7">
                  <wp:extent cx="3168650" cy="221170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ACF" w:rsidTr="004B69E8">
        <w:tc>
          <w:tcPr>
            <w:tcW w:w="5326" w:type="dxa"/>
            <w:shd w:val="clear" w:color="auto" w:fill="auto"/>
          </w:tcPr>
          <w:p w:rsidR="00FC0ACF" w:rsidRPr="007E3B2B" w:rsidRDefault="00FC0ACF" w:rsidP="004A2E9F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 wp14:anchorId="171ED56F" wp14:editId="14EEB694">
                  <wp:extent cx="3168650" cy="221170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  <w:shd w:val="clear" w:color="auto" w:fill="auto"/>
          </w:tcPr>
          <w:p w:rsidR="00FC0ACF" w:rsidRPr="007E3B2B" w:rsidRDefault="00FC0ACF" w:rsidP="004A2E9F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 wp14:anchorId="24DF0889" wp14:editId="1B572F29">
                  <wp:extent cx="3168650" cy="22117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ACF" w:rsidTr="004B69E8">
        <w:tc>
          <w:tcPr>
            <w:tcW w:w="5326" w:type="dxa"/>
            <w:shd w:val="clear" w:color="auto" w:fill="auto"/>
          </w:tcPr>
          <w:p w:rsidR="00FC0ACF" w:rsidRPr="007E3B2B" w:rsidRDefault="00FC0ACF" w:rsidP="004A2E9F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 wp14:anchorId="0EEC31CE" wp14:editId="163F6875">
                  <wp:extent cx="3168650" cy="221170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  <w:shd w:val="clear" w:color="auto" w:fill="auto"/>
          </w:tcPr>
          <w:p w:rsidR="00FC0ACF" w:rsidRPr="007E3B2B" w:rsidRDefault="00FC0ACF" w:rsidP="004A2E9F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 wp14:anchorId="199701F6" wp14:editId="5132E959">
                  <wp:extent cx="3168650" cy="22117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ACF" w:rsidTr="004B69E8">
        <w:tc>
          <w:tcPr>
            <w:tcW w:w="5326" w:type="dxa"/>
            <w:shd w:val="clear" w:color="auto" w:fill="auto"/>
          </w:tcPr>
          <w:p w:rsidR="00FC0ACF" w:rsidRPr="007E3B2B" w:rsidRDefault="00FC0ACF" w:rsidP="004A2E9F">
            <w:pPr>
              <w:pStyle w:val="a1"/>
              <w:spacing w:after="60"/>
              <w:ind w:firstLine="0"/>
            </w:pPr>
            <w:r>
              <w:rPr>
                <w:noProof/>
              </w:rPr>
              <w:lastRenderedPageBreak/>
              <w:drawing>
                <wp:inline distT="0" distB="0" distL="0" distR="0" wp14:anchorId="41E7E9E7" wp14:editId="79051795">
                  <wp:extent cx="3168650" cy="22117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  <w:shd w:val="clear" w:color="auto" w:fill="auto"/>
          </w:tcPr>
          <w:p w:rsidR="00FC0ACF" w:rsidRPr="007E3B2B" w:rsidRDefault="00FC0ACF" w:rsidP="004A2E9F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 wp14:anchorId="5366B912" wp14:editId="26D6D0D1">
                  <wp:extent cx="3168650" cy="22117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ACF" w:rsidTr="004B69E8">
        <w:tc>
          <w:tcPr>
            <w:tcW w:w="5326" w:type="dxa"/>
            <w:shd w:val="clear" w:color="auto" w:fill="auto"/>
          </w:tcPr>
          <w:p w:rsidR="00FC0ACF" w:rsidRPr="007E3B2B" w:rsidRDefault="00FC0ACF" w:rsidP="004A2E9F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 wp14:anchorId="078383E8" wp14:editId="5B680E9B">
                  <wp:extent cx="3168650" cy="22117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  <w:shd w:val="clear" w:color="auto" w:fill="auto"/>
          </w:tcPr>
          <w:p w:rsidR="00FC0ACF" w:rsidRPr="007E3B2B" w:rsidRDefault="00FC0ACF" w:rsidP="004A2E9F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 wp14:anchorId="42053A68" wp14:editId="5D9E8969">
                  <wp:extent cx="3168650" cy="22117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ACF" w:rsidTr="004B69E8">
        <w:tc>
          <w:tcPr>
            <w:tcW w:w="5326" w:type="dxa"/>
            <w:shd w:val="clear" w:color="auto" w:fill="auto"/>
          </w:tcPr>
          <w:p w:rsidR="00FC0ACF" w:rsidRPr="007E3B2B" w:rsidRDefault="00FC0ACF" w:rsidP="004A2E9F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 wp14:anchorId="719A98E1" wp14:editId="52E7E779">
                  <wp:extent cx="3168650" cy="22117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  <w:shd w:val="clear" w:color="auto" w:fill="auto"/>
          </w:tcPr>
          <w:p w:rsidR="00FC0ACF" w:rsidRPr="007E3B2B" w:rsidRDefault="00FC0ACF" w:rsidP="004A2E9F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 wp14:anchorId="25A7F0D7" wp14:editId="36CF2074">
                  <wp:extent cx="3168650" cy="22117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ACF" w:rsidTr="004B69E8">
        <w:tc>
          <w:tcPr>
            <w:tcW w:w="5326" w:type="dxa"/>
            <w:shd w:val="clear" w:color="auto" w:fill="auto"/>
          </w:tcPr>
          <w:p w:rsidR="00FC0ACF" w:rsidRPr="007E3B2B" w:rsidRDefault="00FC0ACF" w:rsidP="004A2E9F">
            <w:pPr>
              <w:pStyle w:val="a1"/>
              <w:spacing w:after="60"/>
              <w:ind w:firstLine="0"/>
            </w:pPr>
            <w:r>
              <w:rPr>
                <w:noProof/>
              </w:rPr>
              <w:lastRenderedPageBreak/>
              <w:drawing>
                <wp:inline distT="0" distB="0" distL="0" distR="0" wp14:anchorId="17797554" wp14:editId="2996E6DE">
                  <wp:extent cx="3168650" cy="2211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  <w:shd w:val="clear" w:color="auto" w:fill="auto"/>
          </w:tcPr>
          <w:p w:rsidR="00FC0ACF" w:rsidRPr="007E3B2B" w:rsidRDefault="00FC0ACF" w:rsidP="004A2E9F">
            <w:pPr>
              <w:pStyle w:val="a1"/>
              <w:spacing w:after="60"/>
              <w:ind w:firstLine="0"/>
            </w:pPr>
          </w:p>
        </w:tc>
      </w:tr>
    </w:tbl>
    <w:p w:rsidR="00FC0ACF" w:rsidRPr="009A045B" w:rsidRDefault="00FC0ACF" w:rsidP="00FC0ACF">
      <w:pPr>
        <w:pStyle w:val="a9"/>
        <w:jc w:val="center"/>
        <w:rPr>
          <w:iCs/>
        </w:rPr>
      </w:pPr>
      <w:r w:rsidRPr="009A045B">
        <w:rPr>
          <w:iCs/>
        </w:rPr>
        <w:t>Источник: Центр развития</w:t>
      </w:r>
    </w:p>
    <w:p w:rsidR="00FC0ACF" w:rsidRDefault="00FC0ACF" w:rsidP="00FC0ACF">
      <w:pPr>
        <w:pStyle w:val="a"/>
      </w:pPr>
      <w:bookmarkStart w:id="3" w:name="_Toc309073339"/>
      <w:r w:rsidRPr="005375F5">
        <w:t xml:space="preserve">— </w:t>
      </w:r>
      <w:proofErr w:type="gramStart"/>
      <w:r>
        <w:t>Консенсус-прогнозы</w:t>
      </w:r>
      <w:proofErr w:type="gramEnd"/>
      <w:r>
        <w:t>, максимальные и минимальные прогнозы по результатам опроса профессиональных прогнозистов</w:t>
      </w:r>
      <w:bookmarkEnd w:id="3"/>
    </w:p>
    <w:p w:rsidR="00FC0ACF" w:rsidRDefault="00FC0ACF" w:rsidP="00FC0ACF">
      <w:pPr>
        <w:pStyle w:val="a1"/>
      </w:pPr>
      <w:proofErr w:type="gramStart"/>
      <w:r>
        <w:t>Сейчас</w:t>
      </w:r>
      <w:proofErr w:type="gramEnd"/>
      <w:r>
        <w:t xml:space="preserve"> даже наиболее оптимистичный прогноз составляет 5-6% в год (прирост на 58% по сравнению с 2011 г.), а самый пессимистичный </w:t>
      </w:r>
      <w:r>
        <w:noBreakHyphen/>
        <w:t xml:space="preserve"> предполагает полную стагнацию: начиная с 2013 г.: за восемь лет с 2013 г. по 2020 г. Россию ждет три года абсолютного спада (2013-2014 гг. и 2017 г.) и пять лет «микроскопического» роста (0,5-1%). Общий спад за эти годы составит 2,6%, а по сравнению с 2011 г. объем реального ВВП почти не изменится (снижение на 0,3%)</w:t>
      </w:r>
    </w:p>
    <w:p w:rsidR="00FC0ACF" w:rsidRDefault="00FC0ACF" w:rsidP="00FC0ACF">
      <w:pPr>
        <w:pStyle w:val="a1"/>
      </w:pPr>
      <w:r>
        <w:t xml:space="preserve">Согласно </w:t>
      </w:r>
      <w:proofErr w:type="gramStart"/>
      <w:r>
        <w:t>Консенсус-прогнозу</w:t>
      </w:r>
      <w:proofErr w:type="gramEnd"/>
      <w:r>
        <w:t xml:space="preserve">, номинальный ВВП вырастет к 2020 г. до 116 трлн. руб. По сравнению с 2011 г. это означает прирост на 120% (в 2,2 раза), что фактически предполагает дефлятор ВВП, равный 5,4% в год. Максимальный прирост номинального ВВП, согласно нашему опросу составил 142 трлн. рублей; при росте реального ВВП на 5-6% в год это означает дефлятор 4,9% в год. Минимальный прирост номинального ВВП, согласно нашему опросу составил 88 трлн. рублей; при фактической стагнации реального ВВП это означает дефлятор в размере 6,6% в год. Таким образом, главные причины различий в траекториях номинального ВВП эксперты видят в различной динамике реального сектора; траектории дефляторов ВВП, соответствующие разным сценариям, более или менее близки друг </w:t>
      </w:r>
      <w:proofErr w:type="gramStart"/>
      <w:r>
        <w:t>ко</w:t>
      </w:r>
      <w:proofErr w:type="gramEnd"/>
      <w:r>
        <w:t xml:space="preserve"> другу.</w:t>
      </w:r>
    </w:p>
    <w:p w:rsidR="00FC0ACF" w:rsidRDefault="00FC0ACF" w:rsidP="00FC0ACF">
      <w:pPr>
        <w:pStyle w:val="a1"/>
      </w:pPr>
      <w:r>
        <w:t>Консенсус-прогноз по промышленности предполагает ро</w:t>
      </w:r>
      <w:proofErr w:type="gramStart"/>
      <w:r>
        <w:t>ст в ср</w:t>
      </w:r>
      <w:proofErr w:type="gramEnd"/>
      <w:r>
        <w:t xml:space="preserve">еднем на 4% в год (чуть меньше, чем ВВП), максимальный прогноз – 7,2%, минимальный – в среднем 0% (стагнация), при спадах в 2015 г. и 2017 г. </w:t>
      </w:r>
    </w:p>
    <w:p w:rsidR="00FC0ACF" w:rsidRDefault="00FC0ACF" w:rsidP="00FC0ACF">
      <w:pPr>
        <w:pStyle w:val="a1"/>
      </w:pPr>
      <w:proofErr w:type="gramStart"/>
      <w:r>
        <w:t xml:space="preserve">Консенсус-прогноз оборота розничной торговли (в сопоставимых ценах) предполагает рост в среднем 4,8% в год, максимальный прогноз – 7,3%, минимальный – 1,4%. При этом консенсус прогноз среднегодового роста реальных располагаемых доходов равен 4,3%, максимальный – 7,3%, минимальный – 1,4%. По сравнению с первым десятилетием </w:t>
      </w:r>
      <w:r>
        <w:rPr>
          <w:lang w:val="en-US"/>
        </w:rPr>
        <w:t>XXI</w:t>
      </w:r>
      <w:r>
        <w:t xml:space="preserve"> века даже самый оптимистичный прогноз предполагает резкое замедление роста потребительских </w:t>
      </w:r>
      <w:r>
        <w:lastRenderedPageBreak/>
        <w:t>расходов (в 2001-2010 оборот розничной торговли рос в среднем на</w:t>
      </w:r>
      <w:proofErr w:type="gramEnd"/>
      <w:r>
        <w:t xml:space="preserve"> </w:t>
      </w:r>
      <w:proofErr w:type="gramStart"/>
      <w:r>
        <w:t xml:space="preserve">10% в год, а если взять только докризисные годы, то в среднем  – на 12,4% в год). </w:t>
      </w:r>
      <w:proofErr w:type="gramEnd"/>
    </w:p>
    <w:p w:rsidR="00FC0ACF" w:rsidRDefault="00FC0ACF" w:rsidP="00FC0ACF">
      <w:pPr>
        <w:pStyle w:val="a1"/>
      </w:pPr>
      <w:r>
        <w:t>Консенсус-прогноз предполагает рост инвестиций в основной капитал на 6,1% в год, максимальный – 13,4%, минимальный – на -0,9% (из-за резких сокращений в 2013 г. и 2017 г.). Верхняя граница примерно соответствует докризисным темпам, а нижняя – десятилетней стагнации.</w:t>
      </w:r>
    </w:p>
    <w:p w:rsidR="00FC0ACF" w:rsidRDefault="00FC0ACF" w:rsidP="00FC0ACF">
      <w:pPr>
        <w:pStyle w:val="a1"/>
      </w:pPr>
      <w:proofErr w:type="gramStart"/>
      <w:r>
        <w:t>Консенсус-прогноз реальных располагаемых доходов предполагает резкое замедление их роста - до 4,3%. Максимальный прогноз (10,8%) примерно соответствует докризисному уровню, а самый пессимистичный прогноз исходит из стагнации реальных располагаемых доходов (обычно – 0%, а в кризисные 2015 г. и 2017 г. вообще ожидается их снижение).</w:t>
      </w:r>
      <w:proofErr w:type="gramEnd"/>
      <w:r>
        <w:t xml:space="preserve"> При этом эксперты ожидают заметного роста средней заработной платы, выраженной в долларах: согласно консенсус-прогнозу в 2020 г. она достигнет 1560 долл./мес. (рост почти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раза</w:t>
      </w:r>
      <w:proofErr w:type="gramEnd"/>
      <w:r>
        <w:t xml:space="preserve"> по сравнению с 2011 г.); минимальный прогноз предполагает среднюю зарплату 1000 долл. (прирост 37%), максимальный – 1940 долл. (прирост 133%). </w:t>
      </w:r>
      <w:proofErr w:type="gramStart"/>
      <w:r>
        <w:t>Различия в динамике реальных доходов и долларовой заработной платы в значительной степени определяются динамикой валютного курса: консенсус-прогноз предполагает умеренную девальвацию рубля (на 12% к концу 2020 г. по сравнению с концом 2011 г.); прогноз, предполагающий ревальвацию рубля, называет в качестве верхней границы этой ревальвации 2,3% (то есть указывает на фактическую стабильность курса доллара в течение последующих девяти лет);</w:t>
      </w:r>
      <w:proofErr w:type="gramEnd"/>
      <w:r>
        <w:t xml:space="preserve"> прогноз, предполагающий девальвацию рубля, ограничивает масштаб девальвации величиной 38% (большая часть этой девальвации приходится на 2017 г., который некоторыми экспертами рассматривается как кризисный).</w:t>
      </w:r>
    </w:p>
    <w:p w:rsidR="00FC0ACF" w:rsidRDefault="00FC0ACF" w:rsidP="00FC0ACF">
      <w:pPr>
        <w:pStyle w:val="a1"/>
      </w:pPr>
      <w:r>
        <w:t xml:space="preserve">Консенсус-прогноз по потребительской инфляции предполагает </w:t>
      </w:r>
      <w:proofErr w:type="gramStart"/>
      <w:r>
        <w:t>очень постепенное</w:t>
      </w:r>
      <w:proofErr w:type="gramEnd"/>
      <w:r>
        <w:t xml:space="preserve"> снижение инфляции до 4,9% в 2020 г.; иными словами, ожидается, что достаточно высокая «фоновая» инфляция сохранится в течение достаточно большого периода времени. Самый оптимистичный прогноз по инфляции указывает на ее замедление до 3% к 2020 г. (уровень, обычно считающийся все же слишком высоким для развитых стран), а самый пессимистичный – новое ускорение инфляции до 9-10% в год.</w:t>
      </w:r>
    </w:p>
    <w:p w:rsidR="00FC0ACF" w:rsidRDefault="00FC0ACF" w:rsidP="00FC0ACF">
      <w:pPr>
        <w:pStyle w:val="a1"/>
      </w:pPr>
      <w:r>
        <w:t xml:space="preserve">Консенсус-прогноз сальдо федерального бюджета указывает на его стабильный дефицит, впрочем, довольно умеренный (2% от ВВП к 2020 г.). </w:t>
      </w:r>
      <w:proofErr w:type="gramStart"/>
      <w:r>
        <w:t>Самый пессимистичный прогноз предполагает увеличение дефицита до 6% от ВВП, а самый оптимистичный – сохранение стабильного профицита во все годы до 2020 г. включительно на уровне около 1,5% от ВВП.</w:t>
      </w:r>
      <w:proofErr w:type="gramEnd"/>
    </w:p>
    <w:p w:rsidR="00FC0ACF" w:rsidRDefault="00FC0ACF" w:rsidP="00FC0ACF">
      <w:pPr>
        <w:pStyle w:val="a1"/>
      </w:pPr>
      <w:r>
        <w:t xml:space="preserve">Эксперты ожидают более быстрого роста товарного импорта в сравнении с экспортом. Вследствие этого торговое сальдо, как ожидается, будет иметь тенденцию к снижению. </w:t>
      </w:r>
      <w:proofErr w:type="gramStart"/>
      <w:r>
        <w:t xml:space="preserve">Консенсус прогноз указывает на снижение с 187 млрд. долл. в 2011 г. до 35 млрд. долл. в 2020 </w:t>
      </w:r>
      <w:r>
        <w:lastRenderedPageBreak/>
        <w:t xml:space="preserve">г.; самый оптимистичный прогноз – на снижение с 227 млрд. долл. до 143 млрд. долл.; а самый пессимистичный – предполагает, что в 2016 г. торговое сальдо станет отрицательным, в а к 2020 г. оно достигнет минус 183 млрд. долл. </w:t>
      </w:r>
      <w:proofErr w:type="gramEnd"/>
    </w:p>
    <w:p w:rsidR="00FC0ACF" w:rsidRDefault="00FC0ACF" w:rsidP="00FC0ACF">
      <w:pPr>
        <w:pStyle w:val="a1"/>
      </w:pPr>
      <w:r>
        <w:t>Примерно такие же тенденции можно проследить в динамике счета текущих операций (СТО), однако для этого показателя уже не только наиболее пессимистичный прогноз, но и усредненный консенсус-прогноз предполагает переход в отрицательную область (пессимистичный прогноз – уже в 2013 г., консенсус-прогноз – в 2017 г.). Это означает, что не только пессимистичный, но и консенсус-прогноз исходят из того, что отток капитала из России будет продолжаться. Самый оптимистичный прогноз СТО предполагает стабилизацию СТО на уровне 110-120 млрд. долл., начиная с 2016 г., что очевидно невозможно без возобновления притока иностранного капитала.</w:t>
      </w:r>
    </w:p>
    <w:p w:rsidR="00FC0ACF" w:rsidRPr="00D4191E" w:rsidRDefault="00FC0ACF" w:rsidP="00FC0ACF">
      <w:pPr>
        <w:pStyle w:val="a1"/>
      </w:pPr>
      <w:r>
        <w:t>Консенсус-прогноз нефтяных цен предполагает, что они – после небольшого падения в 2012-2013 гг. (до уровня 99 долл./</w:t>
      </w:r>
      <w:proofErr w:type="spellStart"/>
      <w:r>
        <w:t>барр</w:t>
      </w:r>
      <w:proofErr w:type="spellEnd"/>
      <w:r>
        <w:t xml:space="preserve">.) </w:t>
      </w:r>
      <w:r>
        <w:noBreakHyphen/>
        <w:t xml:space="preserve"> вновь начнут расти и к 2020 г. вырастут до 117 дол</w:t>
      </w:r>
      <w:proofErr w:type="gramStart"/>
      <w:r>
        <w:t>.</w:t>
      </w:r>
      <w:proofErr w:type="gramEnd"/>
      <w:r>
        <w:t>/</w:t>
      </w:r>
      <w:proofErr w:type="spellStart"/>
      <w:proofErr w:type="gramStart"/>
      <w:r>
        <w:t>б</w:t>
      </w:r>
      <w:proofErr w:type="gramEnd"/>
      <w:r>
        <w:t>арр</w:t>
      </w:r>
      <w:proofErr w:type="spellEnd"/>
      <w:r>
        <w:t xml:space="preserve">. </w:t>
      </w:r>
      <w:proofErr w:type="gramStart"/>
      <w:r>
        <w:t>Оптимистичный прогноз указывает на рост нефтяных цен до 160 долл./</w:t>
      </w:r>
      <w:proofErr w:type="spellStart"/>
      <w:r>
        <w:t>барр</w:t>
      </w:r>
      <w:proofErr w:type="spellEnd"/>
      <w:r>
        <w:t>. в 2020 г. И даже самый пессимистичный прогноз не предполагает сколько-нибудь значительного их падения ниже уровня 80 долл./</w:t>
      </w:r>
      <w:proofErr w:type="spellStart"/>
      <w:r>
        <w:t>барр</w:t>
      </w:r>
      <w:proofErr w:type="spellEnd"/>
      <w:r>
        <w:t>. (исключая «кризисные» 2013 г. и 2017 г., на которые один из экспертов спрогнозировал цены на уровне 70 и 75 долл./</w:t>
      </w:r>
      <w:proofErr w:type="spellStart"/>
      <w:r>
        <w:t>барр</w:t>
      </w:r>
      <w:proofErr w:type="spellEnd"/>
      <w:r>
        <w:t>., соответственно).</w:t>
      </w:r>
      <w:proofErr w:type="gramEnd"/>
      <w:r>
        <w:t xml:space="preserve"> Таким образом, даже самый пессимистичный прогноз исходит из представлений о довольно благоприятных внешних условиях.</w:t>
      </w:r>
    </w:p>
    <w:p w:rsidR="00FC0ACF" w:rsidRPr="00DE3338" w:rsidRDefault="00FC0ACF" w:rsidP="00D33FE6">
      <w:pPr>
        <w:pStyle w:val="10"/>
        <w:numPr>
          <w:ilvl w:val="0"/>
          <w:numId w:val="0"/>
        </w:numPr>
      </w:pPr>
      <w:bookmarkStart w:id="4" w:name="_Toc309073331"/>
      <w:r w:rsidRPr="00DE3338">
        <w:lastRenderedPageBreak/>
        <w:t>Основные результаты опроса: усредненные прогнозы на 2011-2020 гг.</w:t>
      </w:r>
      <w:bookmarkEnd w:id="4"/>
    </w:p>
    <w:p w:rsidR="00FC0ACF" w:rsidRDefault="00FC0ACF" w:rsidP="005101FE">
      <w:pPr>
        <w:pStyle w:val="a1"/>
        <w:ind w:firstLine="0"/>
      </w:pPr>
      <w:r>
        <w:rPr>
          <w:noProof/>
        </w:rPr>
        <w:drawing>
          <wp:inline distT="0" distB="0" distL="0" distR="0" wp14:anchorId="67945284" wp14:editId="402E806F">
            <wp:extent cx="5826760" cy="8601710"/>
            <wp:effectExtent l="0" t="0" r="254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860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FE6" w:rsidRDefault="00D33FE6" w:rsidP="005101FE">
      <w:pPr>
        <w:pStyle w:val="a1"/>
        <w:ind w:firstLine="0"/>
      </w:pPr>
    </w:p>
    <w:p w:rsidR="00D33FE6" w:rsidRDefault="00D33FE6" w:rsidP="00D33FE6">
      <w:pPr>
        <w:pStyle w:val="20"/>
      </w:pPr>
      <w:bookmarkStart w:id="5" w:name="_Toc309639726"/>
      <w:r>
        <w:lastRenderedPageBreak/>
        <w:t>Результаты обработки качественных вопросов</w:t>
      </w:r>
      <w:bookmarkEnd w:id="5"/>
    </w:p>
    <w:p w:rsidR="00D33FE6" w:rsidRDefault="00D33FE6" w:rsidP="00D33FE6">
      <w:pPr>
        <w:pStyle w:val="3"/>
      </w:pPr>
      <w:bookmarkStart w:id="6" w:name="_Toc309639727"/>
      <w:r>
        <w:t>Вероятность кризиса (снижения ВВП)</w:t>
      </w:r>
      <w:bookmarkEnd w:id="6"/>
    </w:p>
    <w:p w:rsidR="00D33FE6" w:rsidRPr="00393E34" w:rsidRDefault="00D33FE6" w:rsidP="00D33FE6">
      <w:pPr>
        <w:pStyle w:val="a1"/>
      </w:pPr>
      <w:r>
        <w:t>Максимальной, согласно результатам опроса, считается вероятность кризиса в 2013 г. (41%). Для этого года 14 из 30 ответивших на соответствующий вопрос экспертов указали «умеренную» или «высокую» вероятность кризиса. Для большинства других лет средняя вероятность кризиса мало отличается от 30%, что корреспондирует с «низкой» (хотя и не «очень низкой») вероятностью кризиса.</w:t>
      </w:r>
    </w:p>
    <w:p w:rsidR="00D33FE6" w:rsidRPr="006676D8" w:rsidRDefault="00D33FE6" w:rsidP="00D33FE6"/>
    <w:p w:rsidR="00D33FE6" w:rsidRPr="00155010" w:rsidRDefault="00D33FE6" w:rsidP="00D33FE6">
      <w:r>
        <w:rPr>
          <w:noProof/>
          <w:lang w:eastAsia="ru-RU"/>
        </w:rPr>
        <w:drawing>
          <wp:inline distT="0" distB="0" distL="0" distR="0">
            <wp:extent cx="5655945" cy="3945255"/>
            <wp:effectExtent l="0" t="0" r="190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45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FE6" w:rsidRPr="009A045B" w:rsidRDefault="00D33FE6" w:rsidP="00D33FE6">
      <w:pPr>
        <w:pStyle w:val="a9"/>
        <w:jc w:val="center"/>
        <w:rPr>
          <w:iCs/>
        </w:rPr>
      </w:pPr>
      <w:r w:rsidRPr="009A045B">
        <w:rPr>
          <w:iCs/>
        </w:rPr>
        <w:t>Источник: Центр развития</w:t>
      </w:r>
    </w:p>
    <w:p w:rsidR="00D33FE6" w:rsidRPr="005375F5" w:rsidRDefault="00D33FE6" w:rsidP="00D33FE6">
      <w:pPr>
        <w:pStyle w:val="a"/>
      </w:pPr>
      <w:bookmarkStart w:id="7" w:name="_Toc309073340"/>
      <w:r w:rsidRPr="005375F5">
        <w:t xml:space="preserve">— </w:t>
      </w:r>
      <w:r>
        <w:t>Вероятность снижения ВВП (согласно опросам в августе и ноябре 2011 г.)</w:t>
      </w:r>
      <w:bookmarkEnd w:id="7"/>
    </w:p>
    <w:p w:rsidR="00D33FE6" w:rsidRDefault="00D33FE6" w:rsidP="00D33FE6">
      <w:pPr>
        <w:pStyle w:val="a1"/>
      </w:pPr>
    </w:p>
    <w:p w:rsidR="00D33FE6" w:rsidRDefault="00D33FE6" w:rsidP="00D33FE6">
      <w:pPr>
        <w:pStyle w:val="a1"/>
      </w:pPr>
      <w:r>
        <w:t>Следует также отметить, что по сравнению с опросом, проводившимся в августе 2011 г., оценки вероятности кризиса в 2012-2013 гг. сейчас немного выросли, а в остальные годы – снизились (в августе вопрос задавался только относительно 2011-2015 гг.)</w:t>
      </w:r>
    </w:p>
    <w:p w:rsidR="00D33FE6" w:rsidRDefault="00D33FE6" w:rsidP="00D33FE6">
      <w:pPr>
        <w:pStyle w:val="3"/>
      </w:pPr>
      <w:bookmarkStart w:id="8" w:name="_Toc309639728"/>
      <w:r>
        <w:t>Другие качественные вопросы</w:t>
      </w:r>
      <w:bookmarkEnd w:id="8"/>
    </w:p>
    <w:p w:rsidR="00D33FE6" w:rsidRDefault="00D33FE6" w:rsidP="00D33FE6">
      <w:pPr>
        <w:pStyle w:val="a1"/>
      </w:pPr>
      <w:r>
        <w:t xml:space="preserve">Отдельный блок качественных вопросов был посвящен оценке экспертами возможностей изменения важнейших институтов («правил игры» в российской экономике и в обществе). Подавляющее большинство экспертов (88%) согласилось с утверждением о том, что </w:t>
      </w:r>
      <w:r>
        <w:lastRenderedPageBreak/>
        <w:t>развитие конкуренции может дать импульс модернизации российской экономики. В то же время 81% опрошенных считает, что уровень конкуренции не может быть повышен без повышения качества других институтов. Таким образом, признавая важность развития конкуренции, большинство экспертов склоняется к мысли, что для модернизации российской экономики скорее необходимо комплексное изменение институциональной среды.</w:t>
      </w:r>
    </w:p>
    <w:p w:rsidR="00D33FE6" w:rsidRDefault="00D33FE6" w:rsidP="00D33FE6">
      <w:pPr>
        <w:pStyle w:val="a1"/>
      </w:pPr>
      <w:r>
        <w:t>В оценке потенциала существующей политической системы с точки зрения институционального развития мнения экспертов разделились примерно как два к одному. 60% опрошенных не верит, что качество российских институтов может быть улучшено в рамках существующей политической системы, а 28% экспертов считают это возможным.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D33FE6" w:rsidTr="00053E4E">
        <w:tc>
          <w:tcPr>
            <w:tcW w:w="5210" w:type="dxa"/>
            <w:shd w:val="clear" w:color="auto" w:fill="auto"/>
          </w:tcPr>
          <w:p w:rsidR="00D33FE6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66745" cy="1922145"/>
                  <wp:effectExtent l="0" t="0" r="0" b="190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45" cy="192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auto"/>
          </w:tcPr>
          <w:p w:rsidR="00D33FE6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66745" cy="1998345"/>
                  <wp:effectExtent l="0" t="0" r="0" b="190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45" cy="199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FE6" w:rsidTr="00053E4E">
        <w:tc>
          <w:tcPr>
            <w:tcW w:w="5210" w:type="dxa"/>
            <w:shd w:val="clear" w:color="auto" w:fill="auto"/>
          </w:tcPr>
          <w:p w:rsidR="00D33FE6" w:rsidRPr="007E3B2B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66745" cy="19304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45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auto"/>
          </w:tcPr>
          <w:p w:rsidR="00D33FE6" w:rsidRPr="007E3B2B" w:rsidRDefault="00D33FE6" w:rsidP="00053E4E">
            <w:pPr>
              <w:pStyle w:val="a1"/>
              <w:spacing w:after="60"/>
              <w:ind w:firstLine="0"/>
            </w:pPr>
          </w:p>
        </w:tc>
      </w:tr>
    </w:tbl>
    <w:p w:rsidR="00D33FE6" w:rsidRPr="009A045B" w:rsidRDefault="00D33FE6" w:rsidP="00D33FE6">
      <w:pPr>
        <w:pStyle w:val="a9"/>
        <w:jc w:val="center"/>
        <w:rPr>
          <w:iCs/>
        </w:rPr>
      </w:pPr>
      <w:r w:rsidRPr="009A045B">
        <w:rPr>
          <w:iCs/>
        </w:rPr>
        <w:t>Источник: Центр развития</w:t>
      </w:r>
    </w:p>
    <w:p w:rsidR="00D33FE6" w:rsidRDefault="00D33FE6" w:rsidP="00D33FE6">
      <w:pPr>
        <w:pStyle w:val="a"/>
      </w:pPr>
      <w:r w:rsidRPr="005375F5">
        <w:t xml:space="preserve">— </w:t>
      </w:r>
      <w:r>
        <w:t>Распределение ответов на вопросы об изменении институтов</w:t>
      </w:r>
    </w:p>
    <w:p w:rsidR="00D33FE6" w:rsidRDefault="00D33FE6" w:rsidP="00D33FE6">
      <w:pPr>
        <w:pStyle w:val="a1"/>
      </w:pPr>
      <w:r>
        <w:t xml:space="preserve">Мнения экспертов о возможности новой волны спада в мировой экономике, связанного с непреодоленными последствиями глобального кризиса 2007-2009 гг., разделились практически поровну. 53% опрошенных считают его вполне возможным, в то время как 44% скорее нет. Так или иначе, подавляющее большинство (88% </w:t>
      </w:r>
      <w:proofErr w:type="gramStart"/>
      <w:r>
        <w:t>опрошенных</w:t>
      </w:r>
      <w:proofErr w:type="gramEnd"/>
      <w:r>
        <w:t>) считает, что мировая экономика в период до 2020 года будет развиваться медленнее, чем до кризиса. При этом 59% экспертов не верят, что в период до 2020 года начнется активное вытеснение нефти другими видами энергоносителей, а 25% допускают такую возможность.</w:t>
      </w:r>
    </w:p>
    <w:p w:rsidR="00D33FE6" w:rsidRDefault="00D33FE6" w:rsidP="00D33FE6">
      <w:pPr>
        <w:pStyle w:val="a1"/>
      </w:pPr>
      <w:r>
        <w:lastRenderedPageBreak/>
        <w:t xml:space="preserve">Критическая зависимость России от состояния внешней конъюнктуры практически не подвергается сомнению. 91% опрошенных связывает возможность наступления нового экономического кризиса в </w:t>
      </w:r>
      <w:proofErr w:type="gramStart"/>
      <w:r>
        <w:t>России</w:t>
      </w:r>
      <w:proofErr w:type="gramEnd"/>
      <w:r>
        <w:t xml:space="preserve"> прежде всего с падением мировых цен на нефть или с другими внешними причинами. Одновременно 28% экспертов допускают, что даже при неизменной конъюнктуре в России найдутся внутренние причины для возникновения следующего кризиса.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D33FE6" w:rsidTr="00053E4E">
        <w:tc>
          <w:tcPr>
            <w:tcW w:w="5210" w:type="dxa"/>
            <w:shd w:val="clear" w:color="auto" w:fill="auto"/>
          </w:tcPr>
          <w:p w:rsidR="00D33FE6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66745" cy="19304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45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auto"/>
          </w:tcPr>
          <w:p w:rsidR="00D33FE6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75000" cy="1938655"/>
                  <wp:effectExtent l="0" t="0" r="6350" b="444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193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FE6" w:rsidTr="00053E4E">
        <w:tc>
          <w:tcPr>
            <w:tcW w:w="5210" w:type="dxa"/>
            <w:shd w:val="clear" w:color="auto" w:fill="auto"/>
          </w:tcPr>
          <w:p w:rsidR="00D33FE6" w:rsidRPr="007E3B2B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66745" cy="19304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45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auto"/>
          </w:tcPr>
          <w:p w:rsidR="00D33FE6" w:rsidRPr="007E3B2B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75000" cy="1938655"/>
                  <wp:effectExtent l="0" t="0" r="6350" b="444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193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FE6" w:rsidTr="00053E4E">
        <w:tc>
          <w:tcPr>
            <w:tcW w:w="5210" w:type="dxa"/>
            <w:shd w:val="clear" w:color="auto" w:fill="auto"/>
          </w:tcPr>
          <w:p w:rsidR="00D33FE6" w:rsidRPr="000425F1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66745" cy="19304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45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auto"/>
          </w:tcPr>
          <w:p w:rsidR="00D33FE6" w:rsidRPr="007E3B2B" w:rsidRDefault="00D33FE6" w:rsidP="00053E4E">
            <w:pPr>
              <w:pStyle w:val="a1"/>
              <w:spacing w:after="60"/>
              <w:ind w:firstLine="0"/>
            </w:pPr>
          </w:p>
        </w:tc>
      </w:tr>
    </w:tbl>
    <w:p w:rsidR="00D33FE6" w:rsidRPr="009A045B" w:rsidRDefault="00D33FE6" w:rsidP="00D33FE6">
      <w:pPr>
        <w:pStyle w:val="a9"/>
        <w:jc w:val="center"/>
        <w:rPr>
          <w:iCs/>
        </w:rPr>
      </w:pPr>
      <w:r w:rsidRPr="009A045B">
        <w:rPr>
          <w:iCs/>
        </w:rPr>
        <w:t>Источник: Центр развития</w:t>
      </w:r>
    </w:p>
    <w:p w:rsidR="00D33FE6" w:rsidRDefault="00D33FE6" w:rsidP="00D33FE6">
      <w:pPr>
        <w:pStyle w:val="a"/>
      </w:pPr>
      <w:r w:rsidRPr="005375F5">
        <w:t xml:space="preserve">— </w:t>
      </w:r>
      <w:r>
        <w:t>Распределение ответов на вопросы о перспективах глобальной экономики и причинах следующего кризиса</w:t>
      </w:r>
    </w:p>
    <w:p w:rsidR="00D33FE6" w:rsidRDefault="00D33FE6" w:rsidP="00D33FE6">
      <w:pPr>
        <w:pStyle w:val="a1"/>
      </w:pPr>
      <w:r>
        <w:t xml:space="preserve">Три вопроса анкеты касались наиболее спорных проблем бюджетной политики - структуры расходов и сбалансированности бюджета. 94% экспертов не видят необходимости в </w:t>
      </w:r>
      <w:r>
        <w:lastRenderedPageBreak/>
        <w:t>нынешних условиях ради достижения бюджетной сбалансированности сокращать расходы бюджета на образование и здравоохранение. Вместе с тем 82% считают неподъемными для российского бюджета принятые решения по повышению оборонных расходов и лишь 13 % считают это более-менее допустимым.</w:t>
      </w:r>
    </w:p>
    <w:p w:rsidR="00D33FE6" w:rsidRDefault="00D33FE6" w:rsidP="00D33FE6">
      <w:pPr>
        <w:pStyle w:val="a1"/>
      </w:pPr>
      <w:r>
        <w:t>Большинство экспертов (78%) также считают возможным для России финансировать бюджетный дефицит путем наращивания государственного долга до 20-25% ВВП и лишь 19% высказались против такого варианта.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D33FE6" w:rsidTr="00053E4E">
        <w:tc>
          <w:tcPr>
            <w:tcW w:w="5210" w:type="dxa"/>
            <w:shd w:val="clear" w:color="auto" w:fill="auto"/>
          </w:tcPr>
          <w:p w:rsidR="00D33FE6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66745" cy="19304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45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auto"/>
          </w:tcPr>
          <w:p w:rsidR="00D33FE6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66745" cy="1896745"/>
                  <wp:effectExtent l="0" t="0" r="0" b="825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45" cy="189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FE6" w:rsidTr="00053E4E">
        <w:tc>
          <w:tcPr>
            <w:tcW w:w="5210" w:type="dxa"/>
            <w:shd w:val="clear" w:color="auto" w:fill="auto"/>
          </w:tcPr>
          <w:p w:rsidR="00D33FE6" w:rsidRPr="007E3B2B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66745" cy="19304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45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auto"/>
          </w:tcPr>
          <w:p w:rsidR="00D33FE6" w:rsidRPr="007E3B2B" w:rsidRDefault="00D33FE6" w:rsidP="00053E4E">
            <w:pPr>
              <w:pStyle w:val="a1"/>
              <w:spacing w:after="60"/>
              <w:ind w:firstLine="0"/>
            </w:pPr>
          </w:p>
        </w:tc>
      </w:tr>
    </w:tbl>
    <w:p w:rsidR="00D33FE6" w:rsidRPr="009A045B" w:rsidRDefault="00D33FE6" w:rsidP="00D33FE6">
      <w:pPr>
        <w:pStyle w:val="a9"/>
        <w:jc w:val="center"/>
        <w:rPr>
          <w:iCs/>
        </w:rPr>
      </w:pPr>
      <w:r w:rsidRPr="009A045B">
        <w:rPr>
          <w:iCs/>
        </w:rPr>
        <w:t>Источник: Центр развития</w:t>
      </w:r>
    </w:p>
    <w:p w:rsidR="00D33FE6" w:rsidRDefault="00D33FE6" w:rsidP="00D33FE6">
      <w:pPr>
        <w:pStyle w:val="a"/>
      </w:pPr>
      <w:r w:rsidRPr="005375F5">
        <w:t xml:space="preserve">— </w:t>
      </w:r>
      <w:r>
        <w:t>Распределение ответов на вопросы о бюджетной политике</w:t>
      </w:r>
    </w:p>
    <w:p w:rsidR="00D33FE6" w:rsidRDefault="00D33FE6" w:rsidP="00D33FE6">
      <w:pPr>
        <w:pStyle w:val="a1"/>
      </w:pPr>
      <w:r>
        <w:t xml:space="preserve">Следующий блок вопросов касался значимости отдельных факторов модернизации российской экономики. </w:t>
      </w:r>
      <w:proofErr w:type="gramStart"/>
      <w:r>
        <w:t xml:space="preserve">Оценивая роль государства в экономике, 82% экспертов не считают необходимым присутствие государства в экономике России в нынешних объемах в виде бюджетных инвестиций, </w:t>
      </w:r>
      <w:proofErr w:type="spellStart"/>
      <w:r>
        <w:t>госкорпораций</w:t>
      </w:r>
      <w:proofErr w:type="spellEnd"/>
      <w:r>
        <w:t>, компаний и банков с государственным участием и лишь 15% считают это оправданным.</w:t>
      </w:r>
      <w:proofErr w:type="gramEnd"/>
      <w:r>
        <w:t xml:space="preserve"> Примерно также распределились ответы на вопрос о лидирующей роли государства в процессе модернизации. 81% опрошенных не считают, что модернизация возможна только в том случае, если государство будет определять ее «прорывные» направления, а 13% считают этот путь единственным.</w:t>
      </w:r>
    </w:p>
    <w:p w:rsidR="00D33FE6" w:rsidRDefault="00D33FE6" w:rsidP="00D33FE6">
      <w:pPr>
        <w:pStyle w:val="a1"/>
      </w:pPr>
      <w:r>
        <w:t>В этом разделе 91% экспертов вновь подтвердили, что улучшение качества российских институтов является необходимым условием модернизации экономики России.</w:t>
      </w:r>
    </w:p>
    <w:p w:rsidR="00D33FE6" w:rsidRDefault="00D33FE6" w:rsidP="00D33FE6">
      <w:pPr>
        <w:pStyle w:val="a1"/>
      </w:pPr>
      <w:r>
        <w:lastRenderedPageBreak/>
        <w:t xml:space="preserve">На ключевую роль открытости экономики и интенсивного притока иностранного капитала во все сектора, включая ТЭК, в процессе модернизации указали 82% опрошенных, в то время как 15% опрошенных не считают эти условия </w:t>
      </w:r>
      <w:proofErr w:type="gramStart"/>
      <w:r>
        <w:t>необходимыми</w:t>
      </w:r>
      <w:proofErr w:type="gramEnd"/>
      <w:r>
        <w:t xml:space="preserve">. Относительно потенциала развития за счет внутреннего спроса мнения разделились -  56% экспертов указали на то, что в период до 2020 года экономический рост в России может опираться главным образом на рост внутреннего спроса, и немногим меньше – 41% не видят такой возможности. </w:t>
      </w:r>
    </w:p>
    <w:p w:rsidR="00D33FE6" w:rsidRDefault="00D33FE6" w:rsidP="00D33FE6">
      <w:pPr>
        <w:pStyle w:val="a1"/>
      </w:pPr>
      <w:r>
        <w:t xml:space="preserve">Что касается </w:t>
      </w:r>
      <w:proofErr w:type="spellStart"/>
      <w:r>
        <w:t>модернизационного</w:t>
      </w:r>
      <w:proofErr w:type="spellEnd"/>
      <w:r>
        <w:t xml:space="preserve"> потенциала российского бизнеса, у 75% экспертов к нему скептическое отношение. Только 19% считают, что в России существует в значимых объемах бизнес, ориентированный на технологические прорывы.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D33FE6" w:rsidTr="00053E4E">
        <w:tc>
          <w:tcPr>
            <w:tcW w:w="5210" w:type="dxa"/>
            <w:shd w:val="clear" w:color="auto" w:fill="auto"/>
          </w:tcPr>
          <w:p w:rsidR="00D33FE6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66745" cy="1998345"/>
                  <wp:effectExtent l="0" t="0" r="0" b="190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45" cy="199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auto"/>
          </w:tcPr>
          <w:p w:rsidR="00D33FE6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66745" cy="194754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45" cy="194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FE6" w:rsidTr="00053E4E">
        <w:tc>
          <w:tcPr>
            <w:tcW w:w="5210" w:type="dxa"/>
            <w:shd w:val="clear" w:color="auto" w:fill="auto"/>
          </w:tcPr>
          <w:p w:rsidR="00D33FE6" w:rsidRPr="007E3B2B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66745" cy="19304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45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auto"/>
          </w:tcPr>
          <w:p w:rsidR="00D33FE6" w:rsidRPr="007E3B2B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66745" cy="1938655"/>
                  <wp:effectExtent l="0" t="0" r="0" b="444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45" cy="193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FE6" w:rsidTr="00053E4E">
        <w:tc>
          <w:tcPr>
            <w:tcW w:w="5210" w:type="dxa"/>
            <w:shd w:val="clear" w:color="auto" w:fill="auto"/>
          </w:tcPr>
          <w:p w:rsidR="00D33FE6" w:rsidRPr="00CF5374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66745" cy="2014855"/>
                  <wp:effectExtent l="0" t="0" r="0" b="444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45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auto"/>
          </w:tcPr>
          <w:p w:rsidR="00D33FE6" w:rsidRPr="007E3B2B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75000" cy="2006600"/>
                  <wp:effectExtent l="0" t="0" r="635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FE6" w:rsidRPr="009A045B" w:rsidRDefault="00D33FE6" w:rsidP="00D33FE6">
      <w:pPr>
        <w:pStyle w:val="a9"/>
        <w:jc w:val="center"/>
        <w:rPr>
          <w:iCs/>
        </w:rPr>
      </w:pPr>
      <w:r w:rsidRPr="009A045B">
        <w:rPr>
          <w:iCs/>
        </w:rPr>
        <w:t>Источник: Центр развития</w:t>
      </w:r>
    </w:p>
    <w:p w:rsidR="00D33FE6" w:rsidRDefault="00D33FE6" w:rsidP="00D33FE6">
      <w:pPr>
        <w:pStyle w:val="a"/>
      </w:pPr>
      <w:r w:rsidRPr="005375F5">
        <w:lastRenderedPageBreak/>
        <w:t xml:space="preserve">— </w:t>
      </w:r>
      <w:r>
        <w:t>Распределение ответов на вопросы об источниках экономического роста и модернизации экономики</w:t>
      </w:r>
    </w:p>
    <w:p w:rsidR="00D33FE6" w:rsidRDefault="00D33FE6" w:rsidP="00D33FE6">
      <w:pPr>
        <w:pStyle w:val="a1"/>
      </w:pPr>
      <w:r>
        <w:t>На вопрос о том, что же мешает российскому бизнесу в его развитии, 88% экспертов согласились с мнением, что это прямое и косвенное государственное регулирование экономики. Почти столько же 78% экспертов при этом не снимают ответственности за это с самого бизнеса, подтвердив мнение о его неумении конкурировать на международных рынках.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D33FE6" w:rsidTr="00053E4E">
        <w:tc>
          <w:tcPr>
            <w:tcW w:w="5210" w:type="dxa"/>
            <w:shd w:val="clear" w:color="auto" w:fill="auto"/>
          </w:tcPr>
          <w:p w:rsidR="00D33FE6" w:rsidRPr="007E3B2B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66745" cy="19304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45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auto"/>
          </w:tcPr>
          <w:p w:rsidR="00D33FE6" w:rsidRPr="007E3B2B" w:rsidRDefault="00D33FE6" w:rsidP="00053E4E">
            <w:pPr>
              <w:pStyle w:val="a1"/>
              <w:spacing w:after="60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66745" cy="19304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45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FE6" w:rsidRPr="009A045B" w:rsidRDefault="00D33FE6" w:rsidP="00D33FE6">
      <w:pPr>
        <w:pStyle w:val="a9"/>
        <w:jc w:val="center"/>
        <w:rPr>
          <w:iCs/>
        </w:rPr>
      </w:pPr>
      <w:r w:rsidRPr="009A045B">
        <w:rPr>
          <w:iCs/>
        </w:rPr>
        <w:t>Источник: Центр развития</w:t>
      </w:r>
    </w:p>
    <w:p w:rsidR="00D33FE6" w:rsidRDefault="00D33FE6" w:rsidP="00D33FE6">
      <w:pPr>
        <w:pStyle w:val="a"/>
      </w:pPr>
      <w:r w:rsidRPr="005375F5">
        <w:t xml:space="preserve">— </w:t>
      </w:r>
      <w:r>
        <w:t>Распределение ответов на вопросы о том, что мешает развитию бизнеса</w:t>
      </w:r>
    </w:p>
    <w:p w:rsidR="00D33FE6" w:rsidRPr="00885947" w:rsidRDefault="00D33FE6" w:rsidP="005101FE">
      <w:pPr>
        <w:pStyle w:val="a1"/>
        <w:ind w:firstLine="0"/>
      </w:pPr>
    </w:p>
    <w:sectPr w:rsidR="00D33FE6" w:rsidRPr="00885947" w:rsidSect="00FC0A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CF" w:rsidRDefault="00FC0ACF" w:rsidP="00FC0ACF">
      <w:pPr>
        <w:spacing w:after="0" w:line="240" w:lineRule="auto"/>
      </w:pPr>
      <w:r>
        <w:separator/>
      </w:r>
    </w:p>
  </w:endnote>
  <w:endnote w:type="continuationSeparator" w:id="0">
    <w:p w:rsidR="00FC0ACF" w:rsidRDefault="00FC0ACF" w:rsidP="00FC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CF" w:rsidRDefault="00FC0ACF" w:rsidP="00FC0ACF">
      <w:pPr>
        <w:spacing w:after="0" w:line="240" w:lineRule="auto"/>
      </w:pPr>
      <w:r>
        <w:separator/>
      </w:r>
    </w:p>
  </w:footnote>
  <w:footnote w:type="continuationSeparator" w:id="0">
    <w:p w:rsidR="00FC0ACF" w:rsidRDefault="00FC0ACF" w:rsidP="00FC0ACF">
      <w:pPr>
        <w:spacing w:after="0" w:line="240" w:lineRule="auto"/>
      </w:pPr>
      <w:r>
        <w:continuationSeparator/>
      </w:r>
    </w:p>
  </w:footnote>
  <w:footnote w:id="1">
    <w:p w:rsidR="00FC0ACF" w:rsidRDefault="00FC0ACF" w:rsidP="00FC0ACF">
      <w:pPr>
        <w:pStyle w:val="a5"/>
      </w:pPr>
      <w:r>
        <w:rPr>
          <w:rStyle w:val="a7"/>
        </w:rPr>
        <w:footnoteRef/>
      </w:r>
      <w:r>
        <w:t xml:space="preserve"> Кроме </w:t>
      </w:r>
      <w:proofErr w:type="gramStart"/>
      <w:r>
        <w:t>простых</w:t>
      </w:r>
      <w:proofErr w:type="gramEnd"/>
      <w:r>
        <w:t xml:space="preserve"> арифметических средних рассчитывались также медианные прогнозы для каждого показателя по всем годам периода 2011-2020. Однако в силу отсутствия далеко отстоящих «выбросов» они обычно не слишком сильно отличались </w:t>
      </w:r>
      <w:proofErr w:type="gramStart"/>
      <w:r>
        <w:t>от</w:t>
      </w:r>
      <w:proofErr w:type="gramEnd"/>
      <w:r>
        <w:t xml:space="preserve"> простых средних. Во всяком случае, с качественной стороны они не были слишком информативны; по этой причине при дальнейшем изложении они опущены.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2DE"/>
    <w:multiLevelType w:val="hybridMultilevel"/>
    <w:tmpl w:val="61D48FCE"/>
    <w:lvl w:ilvl="0" w:tplc="713EB7A0">
      <w:start w:val="1"/>
      <w:numFmt w:val="decimal"/>
      <w:pStyle w:val="2"/>
      <w:lvlText w:val="%1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25B05"/>
    <w:multiLevelType w:val="multilevel"/>
    <w:tmpl w:val="E3364FE8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943086D"/>
    <w:multiLevelType w:val="hybridMultilevel"/>
    <w:tmpl w:val="986CFC20"/>
    <w:lvl w:ilvl="0" w:tplc="E97E0A76">
      <w:start w:val="1"/>
      <w:numFmt w:val="decimal"/>
      <w:pStyle w:val="a"/>
      <w:lvlText w:val="Рисунок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597738"/>
    <w:multiLevelType w:val="hybridMultilevel"/>
    <w:tmpl w:val="96A0E61E"/>
    <w:lvl w:ilvl="0" w:tplc="30467E66">
      <w:start w:val="1"/>
      <w:numFmt w:val="russianUpper"/>
      <w:pStyle w:val="10"/>
      <w:lvlText w:val="Приложение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47"/>
    <w:rsid w:val="0045789A"/>
    <w:rsid w:val="004B69E8"/>
    <w:rsid w:val="005101FE"/>
    <w:rsid w:val="005F7E35"/>
    <w:rsid w:val="00785C95"/>
    <w:rsid w:val="00885947"/>
    <w:rsid w:val="00D33FE6"/>
    <w:rsid w:val="00D4191E"/>
    <w:rsid w:val="00F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qFormat/>
    <w:rsid w:val="00FC0ACF"/>
    <w:pPr>
      <w:keepLines/>
      <w:pageBreakBefore/>
      <w:numPr>
        <w:numId w:val="2"/>
      </w:numPr>
      <w:spacing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FC0ACF"/>
    <w:pPr>
      <w:keepNext/>
      <w:keepLines/>
      <w:numPr>
        <w:ilvl w:val="1"/>
        <w:numId w:val="2"/>
      </w:num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0"/>
    <w:next w:val="a1"/>
    <w:link w:val="30"/>
    <w:qFormat/>
    <w:rsid w:val="00FC0ACF"/>
    <w:pPr>
      <w:keepNext/>
      <w:numPr>
        <w:ilvl w:val="2"/>
        <w:numId w:val="2"/>
      </w:numPr>
      <w:spacing w:before="240" w:after="120" w:line="240" w:lineRule="auto"/>
      <w:ind w:left="1418" w:hanging="709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4">
    <w:name w:val="heading 4"/>
    <w:basedOn w:val="3"/>
    <w:next w:val="a1"/>
    <w:link w:val="40"/>
    <w:qFormat/>
    <w:rsid w:val="00FC0ACF"/>
    <w:pPr>
      <w:numPr>
        <w:ilvl w:val="3"/>
      </w:numPr>
      <w:ind w:left="1418" w:hanging="709"/>
      <w:outlineLvl w:val="3"/>
    </w:pPr>
    <w:rPr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FC0A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FC0A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FC0AC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C0ACF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styleId="a5">
    <w:name w:val="footnote text"/>
    <w:aliases w:val="Table_Footnote_last,Текст сноски Знак Знак,Текст сноски Знак Знак Знак Знак Знак,Текст сноски Знак Знак Знак,Footnote Text Char1,Table_Footnote_last Char1,Текст сноски Знак Знак Char1,Текст сноски Знак Знак Знак Char1 Знак Знак Знак"/>
    <w:basedOn w:val="a0"/>
    <w:link w:val="a6"/>
    <w:semiHidden/>
    <w:rsid w:val="00FC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Table_Footnote_last Знак,Текст сноски Знак Знак Знак1,Текст сноски Знак Знак Знак Знак Знак Знак,Текст сноски Знак Знак Знак Знак,Footnote Text Char1 Знак,Table_Footnote_last Char1 Знак,Текст сноски Знак Знак Char1 Знак"/>
    <w:basedOn w:val="a2"/>
    <w:link w:val="a5"/>
    <w:semiHidden/>
    <w:rsid w:val="00FC0A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-FN"/>
    <w:semiHidden/>
    <w:rsid w:val="00FC0ACF"/>
    <w:rPr>
      <w:vertAlign w:val="superscript"/>
    </w:rPr>
  </w:style>
  <w:style w:type="paragraph" w:customStyle="1" w:styleId="a1">
    <w:name w:val="ТЕКСТ с отступом"/>
    <w:basedOn w:val="a0"/>
    <w:link w:val="a8"/>
    <w:rsid w:val="00FC0A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График Источник"/>
    <w:basedOn w:val="a0"/>
    <w:link w:val="aa"/>
    <w:rsid w:val="00FC0ACF"/>
    <w:pPr>
      <w:spacing w:before="20"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">
    <w:name w:val="Заголовок графика"/>
    <w:basedOn w:val="a0"/>
    <w:next w:val="a0"/>
    <w:link w:val="ab"/>
    <w:rsid w:val="00FC0ACF"/>
    <w:pPr>
      <w:keepNext/>
      <w:numPr>
        <w:numId w:val="1"/>
      </w:numPr>
      <w:spacing w:before="60" w:after="24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Заголовок графика Знак Знак"/>
    <w:basedOn w:val="a2"/>
    <w:link w:val="a"/>
    <w:rsid w:val="00FC0A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ТЕКСТ с отступом Знак"/>
    <w:link w:val="a1"/>
    <w:rsid w:val="00FC0A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График Источник Знак"/>
    <w:basedOn w:val="a2"/>
    <w:link w:val="a9"/>
    <w:rsid w:val="00FC0ACF"/>
    <w:rPr>
      <w:rFonts w:ascii="Times New Roman" w:eastAsia="Times New Roman" w:hAnsi="Times New Roman" w:cs="Times New Roman"/>
      <w:i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F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FC0ACF"/>
    <w:rPr>
      <w:rFonts w:ascii="Tahoma" w:hAnsi="Tahoma" w:cs="Tahoma"/>
      <w:sz w:val="16"/>
      <w:szCs w:val="16"/>
    </w:rPr>
  </w:style>
  <w:style w:type="paragraph" w:customStyle="1" w:styleId="10">
    <w:name w:val="Прил Заголовок 1"/>
    <w:basedOn w:val="1"/>
    <w:rsid w:val="00FC0ACF"/>
    <w:pPr>
      <w:numPr>
        <w:numId w:val="3"/>
      </w:numPr>
      <w:ind w:left="0" w:firstLine="0"/>
    </w:pPr>
    <w:rPr>
      <w:bCs/>
    </w:rPr>
  </w:style>
  <w:style w:type="paragraph" w:customStyle="1" w:styleId="ae">
    <w:name w:val="Таблица Графы"/>
    <w:link w:val="af"/>
    <w:rsid w:val="00D33FE6"/>
    <w:pPr>
      <w:spacing w:before="20" w:after="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аблица Графы Знак"/>
    <w:link w:val="ae"/>
    <w:rsid w:val="00D33FE6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ТЕКСТ список 2"/>
    <w:basedOn w:val="a1"/>
    <w:rsid w:val="00D33FE6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qFormat/>
    <w:rsid w:val="00FC0ACF"/>
    <w:pPr>
      <w:keepLines/>
      <w:pageBreakBefore/>
      <w:numPr>
        <w:numId w:val="2"/>
      </w:numPr>
      <w:spacing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FC0ACF"/>
    <w:pPr>
      <w:keepNext/>
      <w:keepLines/>
      <w:numPr>
        <w:ilvl w:val="1"/>
        <w:numId w:val="2"/>
      </w:num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0"/>
    <w:next w:val="a1"/>
    <w:link w:val="30"/>
    <w:qFormat/>
    <w:rsid w:val="00FC0ACF"/>
    <w:pPr>
      <w:keepNext/>
      <w:numPr>
        <w:ilvl w:val="2"/>
        <w:numId w:val="2"/>
      </w:numPr>
      <w:spacing w:before="240" w:after="120" w:line="240" w:lineRule="auto"/>
      <w:ind w:left="1418" w:hanging="709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4">
    <w:name w:val="heading 4"/>
    <w:basedOn w:val="3"/>
    <w:next w:val="a1"/>
    <w:link w:val="40"/>
    <w:qFormat/>
    <w:rsid w:val="00FC0ACF"/>
    <w:pPr>
      <w:numPr>
        <w:ilvl w:val="3"/>
      </w:numPr>
      <w:ind w:left="1418" w:hanging="709"/>
      <w:outlineLvl w:val="3"/>
    </w:pPr>
    <w:rPr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FC0A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FC0A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FC0AC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C0ACF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styleId="a5">
    <w:name w:val="footnote text"/>
    <w:aliases w:val="Table_Footnote_last,Текст сноски Знак Знак,Текст сноски Знак Знак Знак Знак Знак,Текст сноски Знак Знак Знак,Footnote Text Char1,Table_Footnote_last Char1,Текст сноски Знак Знак Char1,Текст сноски Знак Знак Знак Char1 Знак Знак Знак"/>
    <w:basedOn w:val="a0"/>
    <w:link w:val="a6"/>
    <w:semiHidden/>
    <w:rsid w:val="00FC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Table_Footnote_last Знак,Текст сноски Знак Знак Знак1,Текст сноски Знак Знак Знак Знак Знак Знак,Текст сноски Знак Знак Знак Знак,Footnote Text Char1 Знак,Table_Footnote_last Char1 Знак,Текст сноски Знак Знак Char1 Знак"/>
    <w:basedOn w:val="a2"/>
    <w:link w:val="a5"/>
    <w:semiHidden/>
    <w:rsid w:val="00FC0A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-FN"/>
    <w:semiHidden/>
    <w:rsid w:val="00FC0ACF"/>
    <w:rPr>
      <w:vertAlign w:val="superscript"/>
    </w:rPr>
  </w:style>
  <w:style w:type="paragraph" w:customStyle="1" w:styleId="a1">
    <w:name w:val="ТЕКСТ с отступом"/>
    <w:basedOn w:val="a0"/>
    <w:link w:val="a8"/>
    <w:rsid w:val="00FC0A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График Источник"/>
    <w:basedOn w:val="a0"/>
    <w:link w:val="aa"/>
    <w:rsid w:val="00FC0ACF"/>
    <w:pPr>
      <w:spacing w:before="20"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">
    <w:name w:val="Заголовок графика"/>
    <w:basedOn w:val="a0"/>
    <w:next w:val="a0"/>
    <w:link w:val="ab"/>
    <w:rsid w:val="00FC0ACF"/>
    <w:pPr>
      <w:keepNext/>
      <w:numPr>
        <w:numId w:val="1"/>
      </w:numPr>
      <w:spacing w:before="60" w:after="24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Заголовок графика Знак Знак"/>
    <w:basedOn w:val="a2"/>
    <w:link w:val="a"/>
    <w:rsid w:val="00FC0A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ТЕКСТ с отступом Знак"/>
    <w:link w:val="a1"/>
    <w:rsid w:val="00FC0A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График Источник Знак"/>
    <w:basedOn w:val="a2"/>
    <w:link w:val="a9"/>
    <w:rsid w:val="00FC0ACF"/>
    <w:rPr>
      <w:rFonts w:ascii="Times New Roman" w:eastAsia="Times New Roman" w:hAnsi="Times New Roman" w:cs="Times New Roman"/>
      <w:i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F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FC0ACF"/>
    <w:rPr>
      <w:rFonts w:ascii="Tahoma" w:hAnsi="Tahoma" w:cs="Tahoma"/>
      <w:sz w:val="16"/>
      <w:szCs w:val="16"/>
    </w:rPr>
  </w:style>
  <w:style w:type="paragraph" w:customStyle="1" w:styleId="10">
    <w:name w:val="Прил Заголовок 1"/>
    <w:basedOn w:val="1"/>
    <w:rsid w:val="00FC0ACF"/>
    <w:pPr>
      <w:numPr>
        <w:numId w:val="3"/>
      </w:numPr>
      <w:ind w:left="0" w:firstLine="0"/>
    </w:pPr>
    <w:rPr>
      <w:bCs/>
    </w:rPr>
  </w:style>
  <w:style w:type="paragraph" w:customStyle="1" w:styleId="ae">
    <w:name w:val="Таблица Графы"/>
    <w:link w:val="af"/>
    <w:rsid w:val="00D33FE6"/>
    <w:pPr>
      <w:spacing w:before="20" w:after="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аблица Графы Знак"/>
    <w:link w:val="ae"/>
    <w:rsid w:val="00D33FE6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ТЕКСТ список 2"/>
    <w:basedOn w:val="a1"/>
    <w:rsid w:val="00D33FE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2011-11-16T04:54:00Z</dcterms:created>
  <dcterms:modified xsi:type="dcterms:W3CDTF">2011-12-19T10:50:00Z</dcterms:modified>
</cp:coreProperties>
</file>